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84F" w:rsidRDefault="003A084F">
      <w:r>
        <w:tab/>
      </w:r>
      <w:r>
        <w:tab/>
      </w:r>
      <w:r>
        <w:tab/>
      </w:r>
      <w:r>
        <w:tab/>
      </w:r>
      <w:r>
        <w:tab/>
      </w:r>
      <w:r>
        <w:tab/>
      </w:r>
      <w:r>
        <w:tab/>
      </w:r>
      <w:r>
        <w:rPr>
          <w:noProof/>
          <w:color w:val="0000FF"/>
          <w:lang w:eastAsia="da-DK"/>
        </w:rPr>
        <w:drawing>
          <wp:inline distT="0" distB="0" distL="0" distR="0">
            <wp:extent cx="657225" cy="657225"/>
            <wp:effectExtent l="0" t="0" r="9525" b="9525"/>
            <wp:docPr id="1" name="irc_mi" descr="Billedresultat for sol">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ledresultat for sol">
                      <a:hlinkClick r:id="rId5"/>
                    </pic:cNvPr>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flipH="1">
                      <a:off x="0" y="0"/>
                      <a:ext cx="657225" cy="657225"/>
                    </a:xfrm>
                    <a:prstGeom prst="rect">
                      <a:avLst/>
                    </a:prstGeom>
                    <a:noFill/>
                    <a:ln>
                      <a:noFill/>
                    </a:ln>
                  </pic:spPr>
                </pic:pic>
              </a:graphicData>
            </a:graphic>
          </wp:inline>
        </w:drawing>
      </w:r>
    </w:p>
    <w:p w:rsidR="001B576C" w:rsidRDefault="003A084F">
      <w:r>
        <w:tab/>
      </w:r>
    </w:p>
    <w:p w:rsidR="001B576C" w:rsidRDefault="001B576C"/>
    <w:p w:rsidR="003A084F" w:rsidRDefault="003A084F">
      <w:r>
        <w:t>Til beboerne i Strandgården AB II</w:t>
      </w:r>
      <w:r>
        <w:tab/>
      </w:r>
      <w:r>
        <w:tab/>
      </w:r>
      <w:r>
        <w:tab/>
      </w:r>
      <w:r>
        <w:tab/>
      </w:r>
      <w:r w:rsidR="001B576C">
        <w:t xml:space="preserve">                            </w:t>
      </w:r>
      <w:r w:rsidR="00A769A6">
        <w:t>25.</w:t>
      </w:r>
      <w:r w:rsidR="001B576C">
        <w:t xml:space="preserve"> </w:t>
      </w:r>
      <w:r>
        <w:t>maj 2018</w:t>
      </w:r>
    </w:p>
    <w:p w:rsidR="003A084F" w:rsidRDefault="003A084F"/>
    <w:p w:rsidR="003872AF" w:rsidRDefault="0092780F">
      <w:r>
        <w:t xml:space="preserve">Håber I nyder sommervarmen. </w:t>
      </w:r>
    </w:p>
    <w:p w:rsidR="0092780F" w:rsidRDefault="0092780F">
      <w:r>
        <w:t xml:space="preserve">For god ordens skyld vil vi lige </w:t>
      </w:r>
      <w:r w:rsidR="003A084F">
        <w:t xml:space="preserve">gøre opmærksom på, at vi har </w:t>
      </w:r>
      <w:r w:rsidR="001B576C">
        <w:t xml:space="preserve">et fælles </w:t>
      </w:r>
      <w:r>
        <w:t>regelsæt</w:t>
      </w:r>
      <w:r w:rsidR="001B576C">
        <w:t xml:space="preserve"> som vi i foreningen skal følge. </w:t>
      </w:r>
      <w:r w:rsidR="00A20DAD">
        <w:t xml:space="preserve"> </w:t>
      </w:r>
    </w:p>
    <w:p w:rsidR="00734470" w:rsidRDefault="00734470" w:rsidP="00734470">
      <w:r>
        <w:t>Blandt andet må bebyggelsen ikke ved ombytning ændres, således at dets udseende, som præger den samlede bebyggelse, ændres. Ej heller på facadernes farver ændres, medmindre tilladelse er indhentet af den påtegningsberettigede. Der må altså IKKE opføres yderligere tilbygninger, skure, pergolaer eller lignende.</w:t>
      </w:r>
    </w:p>
    <w:p w:rsidR="00734470" w:rsidRDefault="00734470" w:rsidP="00734470">
      <w:r>
        <w:t xml:space="preserve">Træværk, stakit og låger skal være vores standard grønne farve og </w:t>
      </w:r>
      <w:r w:rsidR="001B576C">
        <w:t>maling</w:t>
      </w:r>
      <w:r>
        <w:t xml:space="preserve"> kan udleveres af Bjarne eller Kristian. </w:t>
      </w:r>
    </w:p>
    <w:p w:rsidR="00734470" w:rsidRDefault="00734470" w:rsidP="00734470">
      <w:r>
        <w:t>Parkering må kun ske på parkeringspladser, der er udlagt som p-plads. Køretøjer med totalvægt over 3.500 kg</w:t>
      </w:r>
      <w:r w:rsidR="001B576C">
        <w:t xml:space="preserve"> må IKKE </w:t>
      </w:r>
      <w:r>
        <w:t xml:space="preserve">henstilles på området, udover den tid der går med betjening. Campingvogne, trailere, både etc. må </w:t>
      </w:r>
      <w:r w:rsidR="001B576C">
        <w:t xml:space="preserve">derfor IKKE </w:t>
      </w:r>
      <w:r>
        <w:t xml:space="preserve">stå parkeret på vores parkeringspladser eller områder. </w:t>
      </w:r>
    </w:p>
    <w:p w:rsidR="00A20DAD" w:rsidRDefault="00734470" w:rsidP="00734470">
      <w:r>
        <w:t xml:space="preserve">En hver form for </w:t>
      </w:r>
      <w:r w:rsidR="00425942">
        <w:t>f</w:t>
      </w:r>
      <w:r w:rsidR="00590C3E">
        <w:t>orandring</w:t>
      </w:r>
      <w:r w:rsidR="00A20DAD">
        <w:t xml:space="preserve"> </w:t>
      </w:r>
      <w:r w:rsidR="00425942">
        <w:t xml:space="preserve">der </w:t>
      </w:r>
      <w:r w:rsidR="00A20DAD">
        <w:t>foretages i boligen – såvel ude som inde - skal skriftligt anmeldes t</w:t>
      </w:r>
      <w:r>
        <w:t xml:space="preserve">il og godkendes af bestyrelsen. Er du i tvivl, så spørg hellere en gang for meget end </w:t>
      </w:r>
      <w:r w:rsidR="001B576C">
        <w:t xml:space="preserve">en gang </w:t>
      </w:r>
      <w:r>
        <w:t>for lidt.</w:t>
      </w:r>
    </w:p>
    <w:p w:rsidR="001B576C" w:rsidRDefault="001B576C" w:rsidP="00734470">
      <w:r>
        <w:t>Har man fået sat noget ud til storskrald som der ikke bliver fjernet, har man selv ansvaret for at tage det ind igen, så det ikke står og flyder på parkeringspladsen.</w:t>
      </w:r>
    </w:p>
    <w:p w:rsidR="00734470" w:rsidRDefault="00734470" w:rsidP="00734470">
      <w:r>
        <w:t xml:space="preserve">Den dejlige varme sommer står for døren og vi vil derfor lige minde </w:t>
      </w:r>
      <w:r w:rsidR="001B576C">
        <w:t>J</w:t>
      </w:r>
      <w:r>
        <w:t xml:space="preserve">er om, at </w:t>
      </w:r>
      <w:r w:rsidR="001B576C">
        <w:t xml:space="preserve">vi skal huske at tage hensyn til vores naboer. Det er ikke sikkert, at dine </w:t>
      </w:r>
      <w:r>
        <w:t>nabo</w:t>
      </w:r>
      <w:r w:rsidR="001B576C">
        <w:t>er</w:t>
      </w:r>
      <w:r>
        <w:t xml:space="preserve"> ønsker</w:t>
      </w:r>
      <w:r w:rsidR="001B576C">
        <w:t xml:space="preserve"> at høre den musik du spiller, så tag derfor </w:t>
      </w:r>
      <w:r w:rsidR="003872AF">
        <w:t xml:space="preserve">ekstra </w:t>
      </w:r>
      <w:bookmarkStart w:id="0" w:name="_GoBack"/>
      <w:bookmarkEnd w:id="0"/>
      <w:r w:rsidR="001B576C">
        <w:t>hensyn og skru ned for musikken, når vi har døre og vinduer åbne</w:t>
      </w:r>
      <w:r>
        <w:t xml:space="preserve">. </w:t>
      </w:r>
    </w:p>
    <w:p w:rsidR="001B576C" w:rsidRDefault="001B576C" w:rsidP="00425942"/>
    <w:p w:rsidR="00425942" w:rsidRDefault="00425942" w:rsidP="00425942">
      <w:r>
        <w:t>Der vedlægges husorden, deklaration og vedtægternes § 10. (vedtægterne kan ses på hjemmesiden).</w:t>
      </w:r>
    </w:p>
    <w:p w:rsidR="00425942" w:rsidRDefault="00425942" w:rsidP="00425942"/>
    <w:p w:rsidR="00425942" w:rsidRDefault="00425942" w:rsidP="00425942">
      <w:r>
        <w:tab/>
      </w:r>
      <w:r>
        <w:tab/>
        <w:t>Med ønsket om en god sommer</w:t>
      </w:r>
    </w:p>
    <w:p w:rsidR="00425942" w:rsidRDefault="00425942" w:rsidP="00425942">
      <w:r>
        <w:tab/>
      </w:r>
      <w:r>
        <w:tab/>
      </w:r>
      <w:r>
        <w:tab/>
        <w:t>Hilsen bestyrelsen AB II</w:t>
      </w:r>
    </w:p>
    <w:p w:rsidR="00425942" w:rsidRDefault="00425942" w:rsidP="00425942"/>
    <w:p w:rsidR="00B30D4B" w:rsidRDefault="00425942" w:rsidP="00425942">
      <w:r w:rsidRPr="00C50616">
        <w:rPr>
          <w:noProof/>
          <w:lang w:eastAsia="da-DK"/>
        </w:rPr>
        <w:drawing>
          <wp:inline distT="0" distB="0" distL="0" distR="0">
            <wp:extent cx="1633224" cy="1223962"/>
            <wp:effectExtent l="0" t="4763" r="318" b="317"/>
            <wp:docPr id="3" name="Billede 3" descr="C:\Users\w03150\AppData\Local\Microsoft\Windows\INetCache\IE\DZ1AT3TK\IMG_34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03150\AppData\Local\Microsoft\Windows\INetCache\IE\DZ1AT3TK\IMG_3473.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rot="5400000">
                      <a:off x="0" y="0"/>
                      <a:ext cx="1673426" cy="1254090"/>
                    </a:xfrm>
                    <a:prstGeom prst="rect">
                      <a:avLst/>
                    </a:prstGeom>
                    <a:noFill/>
                    <a:ln>
                      <a:noFill/>
                    </a:ln>
                  </pic:spPr>
                </pic:pic>
              </a:graphicData>
            </a:graphic>
          </wp:inline>
        </w:drawing>
      </w:r>
      <w:r>
        <w:t xml:space="preserve">  </w:t>
      </w:r>
      <w:r w:rsidRPr="00425942">
        <w:rPr>
          <w:b/>
        </w:rPr>
        <w:t xml:space="preserve">STRANDGÅRDEN II – et </w:t>
      </w:r>
      <w:r>
        <w:rPr>
          <w:b/>
        </w:rPr>
        <w:t>godt sted at bo.</w:t>
      </w:r>
    </w:p>
    <w:sectPr w:rsidR="00B30D4B" w:rsidSect="003A084F">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altName w:val="Segoe U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05E97"/>
    <w:multiLevelType w:val="hybridMultilevel"/>
    <w:tmpl w:val="EF402BEA"/>
    <w:lvl w:ilvl="0" w:tplc="34D4F1BA">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4BF40479"/>
    <w:multiLevelType w:val="hybridMultilevel"/>
    <w:tmpl w:val="EEC6D9BA"/>
    <w:lvl w:ilvl="0" w:tplc="885A447E">
      <w:numFmt w:val="bullet"/>
      <w:lvlText w:val="-"/>
      <w:lvlJc w:val="left"/>
      <w:pPr>
        <w:ind w:left="1709" w:hanging="360"/>
      </w:pPr>
      <w:rPr>
        <w:rFonts w:ascii="Calibri" w:eastAsiaTheme="minorHAnsi" w:hAnsi="Calibri" w:cstheme="minorBidi" w:hint="default"/>
      </w:rPr>
    </w:lvl>
    <w:lvl w:ilvl="1" w:tplc="04060003" w:tentative="1">
      <w:start w:val="1"/>
      <w:numFmt w:val="bullet"/>
      <w:lvlText w:val="o"/>
      <w:lvlJc w:val="left"/>
      <w:pPr>
        <w:ind w:left="2429" w:hanging="360"/>
      </w:pPr>
      <w:rPr>
        <w:rFonts w:ascii="Courier New" w:hAnsi="Courier New" w:cs="Courier New" w:hint="default"/>
      </w:rPr>
    </w:lvl>
    <w:lvl w:ilvl="2" w:tplc="04060005" w:tentative="1">
      <w:start w:val="1"/>
      <w:numFmt w:val="bullet"/>
      <w:lvlText w:val=""/>
      <w:lvlJc w:val="left"/>
      <w:pPr>
        <w:ind w:left="3149" w:hanging="360"/>
      </w:pPr>
      <w:rPr>
        <w:rFonts w:ascii="Wingdings" w:hAnsi="Wingdings" w:hint="default"/>
      </w:rPr>
    </w:lvl>
    <w:lvl w:ilvl="3" w:tplc="04060001" w:tentative="1">
      <w:start w:val="1"/>
      <w:numFmt w:val="bullet"/>
      <w:lvlText w:val=""/>
      <w:lvlJc w:val="left"/>
      <w:pPr>
        <w:ind w:left="3869" w:hanging="360"/>
      </w:pPr>
      <w:rPr>
        <w:rFonts w:ascii="Symbol" w:hAnsi="Symbol" w:hint="default"/>
      </w:rPr>
    </w:lvl>
    <w:lvl w:ilvl="4" w:tplc="04060003" w:tentative="1">
      <w:start w:val="1"/>
      <w:numFmt w:val="bullet"/>
      <w:lvlText w:val="o"/>
      <w:lvlJc w:val="left"/>
      <w:pPr>
        <w:ind w:left="4589" w:hanging="360"/>
      </w:pPr>
      <w:rPr>
        <w:rFonts w:ascii="Courier New" w:hAnsi="Courier New" w:cs="Courier New" w:hint="default"/>
      </w:rPr>
    </w:lvl>
    <w:lvl w:ilvl="5" w:tplc="04060005" w:tentative="1">
      <w:start w:val="1"/>
      <w:numFmt w:val="bullet"/>
      <w:lvlText w:val=""/>
      <w:lvlJc w:val="left"/>
      <w:pPr>
        <w:ind w:left="5309" w:hanging="360"/>
      </w:pPr>
      <w:rPr>
        <w:rFonts w:ascii="Wingdings" w:hAnsi="Wingdings" w:hint="default"/>
      </w:rPr>
    </w:lvl>
    <w:lvl w:ilvl="6" w:tplc="04060001" w:tentative="1">
      <w:start w:val="1"/>
      <w:numFmt w:val="bullet"/>
      <w:lvlText w:val=""/>
      <w:lvlJc w:val="left"/>
      <w:pPr>
        <w:ind w:left="6029" w:hanging="360"/>
      </w:pPr>
      <w:rPr>
        <w:rFonts w:ascii="Symbol" w:hAnsi="Symbol" w:hint="default"/>
      </w:rPr>
    </w:lvl>
    <w:lvl w:ilvl="7" w:tplc="04060003" w:tentative="1">
      <w:start w:val="1"/>
      <w:numFmt w:val="bullet"/>
      <w:lvlText w:val="o"/>
      <w:lvlJc w:val="left"/>
      <w:pPr>
        <w:ind w:left="6749" w:hanging="360"/>
      </w:pPr>
      <w:rPr>
        <w:rFonts w:ascii="Courier New" w:hAnsi="Courier New" w:cs="Courier New" w:hint="default"/>
      </w:rPr>
    </w:lvl>
    <w:lvl w:ilvl="8" w:tplc="04060005" w:tentative="1">
      <w:start w:val="1"/>
      <w:numFmt w:val="bullet"/>
      <w:lvlText w:val=""/>
      <w:lvlJc w:val="left"/>
      <w:pPr>
        <w:ind w:left="7469"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1304"/>
  <w:hyphenationZone w:val="425"/>
  <w:characterSpacingControl w:val="doNotCompress"/>
  <w:compat/>
  <w:rsids>
    <w:rsidRoot w:val="003A084F"/>
    <w:rsid w:val="000F32C4"/>
    <w:rsid w:val="001B576C"/>
    <w:rsid w:val="003872AF"/>
    <w:rsid w:val="003A084F"/>
    <w:rsid w:val="00425942"/>
    <w:rsid w:val="00590C3E"/>
    <w:rsid w:val="005E2211"/>
    <w:rsid w:val="00734470"/>
    <w:rsid w:val="0092780F"/>
    <w:rsid w:val="00A20DAD"/>
    <w:rsid w:val="00A218A9"/>
    <w:rsid w:val="00A769A6"/>
    <w:rsid w:val="00AC28E7"/>
    <w:rsid w:val="00B30D4B"/>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8E7"/>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5E2211"/>
    <w:pPr>
      <w:ind w:left="720"/>
      <w:contextualSpacing/>
    </w:pPr>
  </w:style>
  <w:style w:type="paragraph" w:styleId="Markeringsbobletekst">
    <w:name w:val="Balloon Text"/>
    <w:basedOn w:val="Normal"/>
    <w:link w:val="MarkeringsbobletekstTegn"/>
    <w:uiPriority w:val="99"/>
    <w:semiHidden/>
    <w:unhideWhenUsed/>
    <w:rsid w:val="00A769A6"/>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A769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google.dk/url?sa=i&amp;source=images&amp;cd=&amp;cad=rja&amp;uact=8&amp;ved=2ahUKEwiNqrGYvp3bAhWDDSwKHaIHBywQjRx6BAgBEAU&amp;url=https://www.colourbox.dk/vektor/smilende-sol-vektor-7970802&amp;psig=AOvVaw13teevfv3y7prwE0vVZ7z5&amp;ust=152722166282414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253</Words>
  <Characters>1546</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skat</Company>
  <LinksUpToDate>false</LinksUpToDate>
  <CharactersWithSpaces>1796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Pernille Madsen</dc:creator>
  <cp:lastModifiedBy>Pernille</cp:lastModifiedBy>
  <cp:revision>2</cp:revision>
  <dcterms:created xsi:type="dcterms:W3CDTF">2018-05-28T05:36:00Z</dcterms:created>
  <dcterms:modified xsi:type="dcterms:W3CDTF">2018-05-28T05:36:00Z</dcterms:modified>
</cp:coreProperties>
</file>